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802" w:rsidRPr="005F2802" w:rsidRDefault="005F2802" w:rsidP="005F2802">
      <w:pPr>
        <w:rPr>
          <w:b/>
          <w:sz w:val="28"/>
          <w:szCs w:val="28"/>
        </w:rPr>
      </w:pPr>
      <w:r w:rsidRPr="005F2802">
        <w:rPr>
          <w:b/>
          <w:sz w:val="28"/>
          <w:szCs w:val="28"/>
        </w:rPr>
        <w:t xml:space="preserve">Specific Information </w:t>
      </w:r>
      <w:proofErr w:type="gramStart"/>
      <w:r w:rsidRPr="005F2802">
        <w:rPr>
          <w:b/>
          <w:sz w:val="28"/>
          <w:szCs w:val="28"/>
        </w:rPr>
        <w:t>For</w:t>
      </w:r>
      <w:proofErr w:type="gramEnd"/>
      <w:r w:rsidRPr="005F2802">
        <w:rPr>
          <w:b/>
          <w:sz w:val="28"/>
          <w:szCs w:val="28"/>
        </w:rPr>
        <w:t xml:space="preserve"> Elementary Teachers</w:t>
      </w:r>
      <w:bookmarkStart w:id="0" w:name="_GoBack"/>
      <w:bookmarkEnd w:id="0"/>
    </w:p>
    <w:p w:rsidR="005F2802" w:rsidRDefault="005F2802" w:rsidP="005F2802">
      <w:r>
        <w:t>The response of a young child to the death of a significant person may vary depending upon the personal, family, and social factors.  The grieving process does not always have discernible stages as observed in adolescents or adults.  Such factors as the closeness of the relationship, the time of preparation for the death, and the family's response to the death may influence the nature, duration, and severity of the grief response.  After the loss of a loved one, the child may be reluctant to trust other adults for fear they too will die or go away.  This confounds the teacher's role in supporting the student.</w:t>
      </w:r>
    </w:p>
    <w:p w:rsidR="005F2802" w:rsidRDefault="005F2802" w:rsidP="005F2802">
      <w:r>
        <w:t>The variety of responses to death and often hide the child's true feelings.  The child may behave as if nothing is really wrong, hoping that they can convince themselves that death is a reversible process and the deceased will return.  Often the signs are physical or behavioral in nature, including:  crying, clinging, and thumb sucking.  Other signs of bodily distress might include: chronic worrying, lack of energy, and loss of appetite.  The child may also demonstrate hostile reactions or there may be a looking to others or substituting that is designed to satisfy some physical or emotional need.  There may be an idealizing of the individual during the initial response.  Perhaps the most powerful response of young children to death is one of guilt. There may be concern that they have done something to cause the death or should have been more helpful while the person was alive.</w:t>
      </w:r>
    </w:p>
    <w:p w:rsidR="00784D53" w:rsidRDefault="005F2802" w:rsidP="005F2802">
      <w:r>
        <w:t>The teacher can be very helpful to the young child by giving him/her accurate information in simple and understandable words.  The information shared should be guided by the child's questions and should avoid the use of phrases such as "going on a long trip" or "going to sleep". By supporting the child's expressions of feeling in a caring manner, the teacher prepares the child for later grief events.  If possible, it is helpful to young children to use such experiences as the loss of a pet to begin to acquire the skills necessary to get through the death of a person to whom they are acquainted.</w:t>
      </w:r>
    </w:p>
    <w:sectPr w:rsidR="00784D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802"/>
    <w:rsid w:val="005F2802"/>
    <w:rsid w:val="00784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321</Words>
  <Characters>1834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 Clerk</dc:creator>
  <cp:lastModifiedBy>MIS Clerk</cp:lastModifiedBy>
  <cp:revision>1</cp:revision>
  <dcterms:created xsi:type="dcterms:W3CDTF">2016-11-21T20:39:00Z</dcterms:created>
  <dcterms:modified xsi:type="dcterms:W3CDTF">2016-11-21T20:39:00Z</dcterms:modified>
</cp:coreProperties>
</file>